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8F" w:rsidRDefault="009B228F" w:rsidP="009B228F">
      <w:pPr>
        <w:spacing w:line="320" w:lineRule="atLeast"/>
        <w:jc w:val="right"/>
        <w:rPr>
          <w:b/>
          <w:i/>
          <w:sz w:val="22"/>
          <w:szCs w:val="22"/>
        </w:rPr>
      </w:pPr>
      <w:r w:rsidRPr="00DE7692">
        <w:rPr>
          <w:b/>
          <w:i/>
          <w:sz w:val="22"/>
          <w:szCs w:val="22"/>
        </w:rPr>
        <w:t>Приложение № 3</w:t>
      </w:r>
    </w:p>
    <w:p w:rsidR="009B228F" w:rsidRDefault="009B228F" w:rsidP="009B228F">
      <w:pPr>
        <w:autoSpaceDE w:val="0"/>
        <w:autoSpaceDN w:val="0"/>
        <w:adjustRightInd w:val="0"/>
        <w:ind w:firstLine="720"/>
        <w:jc w:val="right"/>
        <w:rPr>
          <w:b/>
          <w:i/>
          <w:sz w:val="22"/>
          <w:szCs w:val="22"/>
        </w:rPr>
      </w:pPr>
      <w:r>
        <w:rPr>
          <w:b/>
          <w:i/>
          <w:sz w:val="22"/>
          <w:szCs w:val="22"/>
        </w:rPr>
        <w:t xml:space="preserve">к ПОРЯДКУ идентификации налоговых резидентов </w:t>
      </w:r>
    </w:p>
    <w:p w:rsidR="009B228F" w:rsidRPr="00C66862" w:rsidRDefault="009B228F" w:rsidP="009B228F">
      <w:pPr>
        <w:autoSpaceDE w:val="0"/>
        <w:autoSpaceDN w:val="0"/>
        <w:adjustRightInd w:val="0"/>
        <w:ind w:firstLine="720"/>
        <w:jc w:val="right"/>
        <w:rPr>
          <w:b/>
          <w:i/>
          <w:sz w:val="22"/>
          <w:szCs w:val="22"/>
        </w:rPr>
      </w:pPr>
      <w:r>
        <w:rPr>
          <w:b/>
          <w:i/>
          <w:sz w:val="22"/>
          <w:szCs w:val="22"/>
        </w:rPr>
        <w:t>иностранных государств (территорий) в АО «ГУТА-БАНК»</w:t>
      </w:r>
    </w:p>
    <w:p w:rsidR="009B228F" w:rsidRPr="00DE7692" w:rsidRDefault="009B228F" w:rsidP="009B228F">
      <w:pPr>
        <w:spacing w:after="120" w:line="320" w:lineRule="atLeast"/>
        <w:jc w:val="right"/>
        <w:rPr>
          <w:b/>
          <w:i/>
          <w:sz w:val="22"/>
          <w:szCs w:val="22"/>
        </w:rPr>
      </w:pPr>
    </w:p>
    <w:p w:rsidR="009B228F" w:rsidRPr="00B64F39" w:rsidRDefault="009B228F" w:rsidP="009B228F">
      <w:pPr>
        <w:spacing w:after="120" w:line="320" w:lineRule="atLeast"/>
        <w:jc w:val="both"/>
        <w:rPr>
          <w:b/>
          <w:color w:val="000000"/>
          <w:sz w:val="20"/>
          <w:szCs w:val="20"/>
        </w:rPr>
      </w:pPr>
      <w:r>
        <w:rPr>
          <w:b/>
          <w:color w:val="000000"/>
          <w:sz w:val="20"/>
          <w:szCs w:val="20"/>
        </w:rPr>
        <w:t xml:space="preserve">Форма самосертификации </w:t>
      </w:r>
      <w:r w:rsidRPr="00B64F39">
        <w:rPr>
          <w:b/>
          <w:color w:val="000000"/>
          <w:sz w:val="20"/>
          <w:szCs w:val="20"/>
        </w:rPr>
        <w:t xml:space="preserve">для целей определения статуса </w:t>
      </w:r>
      <w:r>
        <w:rPr>
          <w:b/>
          <w:color w:val="000000"/>
          <w:sz w:val="20"/>
          <w:szCs w:val="20"/>
        </w:rPr>
        <w:t>налогового резидента иностранного государства</w:t>
      </w:r>
      <w:r>
        <w:rPr>
          <w:rStyle w:val="ab"/>
          <w:b/>
          <w:color w:val="000000"/>
          <w:sz w:val="20"/>
          <w:szCs w:val="20"/>
        </w:rPr>
        <w:footnoteReference w:id="1"/>
      </w:r>
      <w:r w:rsidRPr="00B64F39">
        <w:rPr>
          <w:b/>
          <w:color w:val="000000"/>
          <w:sz w:val="20"/>
          <w:szCs w:val="20"/>
        </w:rPr>
        <w:t xml:space="preserve"> (</w:t>
      </w:r>
      <w:r>
        <w:rPr>
          <w:b/>
          <w:color w:val="000000"/>
          <w:sz w:val="20"/>
          <w:szCs w:val="20"/>
        </w:rPr>
        <w:t>юридического</w:t>
      </w:r>
      <w:r w:rsidRPr="00B64F39">
        <w:rPr>
          <w:b/>
          <w:color w:val="000000"/>
          <w:sz w:val="20"/>
          <w:szCs w:val="20"/>
        </w:rPr>
        <w:t xml:space="preserve"> лица</w:t>
      </w:r>
      <w:r>
        <w:rPr>
          <w:b/>
          <w:color w:val="000000"/>
          <w:sz w:val="20"/>
          <w:szCs w:val="20"/>
        </w:rPr>
        <w:t>/структуры без образования юридического лица</w:t>
      </w:r>
      <w:r w:rsidRPr="00B64F39">
        <w:rPr>
          <w:b/>
          <w:color w:val="000000"/>
          <w:sz w:val="20"/>
          <w:szCs w:val="20"/>
        </w:rPr>
        <w:t>)</w:t>
      </w:r>
    </w:p>
    <w:p w:rsidR="009B228F" w:rsidRPr="00436CFE" w:rsidRDefault="009B228F" w:rsidP="009B228F">
      <w:pPr>
        <w:spacing w:after="120" w:line="320" w:lineRule="atLeast"/>
        <w:jc w:val="center"/>
        <w:rPr>
          <w:b/>
          <w:color w:val="000000"/>
          <w:sz w:val="20"/>
          <w:szCs w:val="20"/>
        </w:rPr>
      </w:pPr>
      <w:bookmarkStart w:id="0" w:name="_GoBack"/>
      <w:bookmarkEnd w:id="0"/>
      <w:r w:rsidRPr="00436CFE">
        <w:rPr>
          <w:b/>
          <w:color w:val="000000"/>
          <w:sz w:val="20"/>
          <w:szCs w:val="20"/>
        </w:rPr>
        <w:t>Уважаемый клиент!</w:t>
      </w:r>
    </w:p>
    <w:p w:rsidR="009B228F" w:rsidRDefault="009B228F" w:rsidP="009B228F">
      <w:pPr>
        <w:spacing w:after="120" w:line="320" w:lineRule="atLeast"/>
        <w:jc w:val="center"/>
        <w:rPr>
          <w:color w:val="000000"/>
          <w:sz w:val="20"/>
          <w:szCs w:val="20"/>
        </w:rPr>
      </w:pPr>
      <w:r w:rsidRPr="00924C37">
        <w:rPr>
          <w:color w:val="000000"/>
          <w:sz w:val="20"/>
          <w:szCs w:val="20"/>
        </w:rPr>
        <w:t>АО «ГУТА-БАНК» (далее – Банк) обращается к Вам с просьбой заполнить все пункты по порядку, если только в комментариях к ним не указано иное.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27"/>
        <w:gridCol w:w="1984"/>
        <w:gridCol w:w="3219"/>
      </w:tblGrid>
      <w:tr w:rsidR="009B228F" w:rsidRPr="00924C37" w:rsidTr="00B60F2A">
        <w:tc>
          <w:tcPr>
            <w:tcW w:w="9564" w:type="dxa"/>
            <w:gridSpan w:val="4"/>
          </w:tcPr>
          <w:p w:rsidR="009B228F" w:rsidRPr="00DE7692" w:rsidRDefault="009B228F" w:rsidP="00B60F2A">
            <w:pPr>
              <w:spacing w:after="120" w:line="320" w:lineRule="atLeast"/>
              <w:jc w:val="both"/>
              <w:rPr>
                <w:color w:val="000000"/>
                <w:sz w:val="20"/>
                <w:szCs w:val="20"/>
              </w:rPr>
            </w:pPr>
            <w:r w:rsidRPr="00DE7692">
              <w:rPr>
                <w:color w:val="000000"/>
                <w:sz w:val="20"/>
                <w:szCs w:val="20"/>
              </w:rPr>
              <w:t>Сведения о юридическом лице/структуре без образования юридического лица:</w:t>
            </w:r>
          </w:p>
        </w:tc>
      </w:tr>
      <w:tr w:rsidR="009B228F" w:rsidRPr="00924C37" w:rsidTr="00B60F2A">
        <w:tc>
          <w:tcPr>
            <w:tcW w:w="534"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1.</w:t>
            </w:r>
          </w:p>
        </w:tc>
        <w:tc>
          <w:tcPr>
            <w:tcW w:w="3827"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Наименование</w:t>
            </w:r>
          </w:p>
        </w:tc>
        <w:tc>
          <w:tcPr>
            <w:tcW w:w="5203" w:type="dxa"/>
            <w:gridSpan w:val="2"/>
          </w:tcPr>
          <w:p w:rsidR="009B228F" w:rsidRPr="00DE7692" w:rsidRDefault="009B228F" w:rsidP="00B60F2A">
            <w:pPr>
              <w:spacing w:after="120" w:line="320" w:lineRule="atLeast"/>
              <w:jc w:val="both"/>
              <w:rPr>
                <w:color w:val="000000"/>
                <w:sz w:val="20"/>
                <w:szCs w:val="20"/>
              </w:rPr>
            </w:pPr>
          </w:p>
        </w:tc>
      </w:tr>
      <w:tr w:rsidR="009B228F" w:rsidRPr="00924C37" w:rsidTr="00B60F2A">
        <w:tc>
          <w:tcPr>
            <w:tcW w:w="534"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2.</w:t>
            </w:r>
          </w:p>
        </w:tc>
        <w:tc>
          <w:tcPr>
            <w:tcW w:w="3827" w:type="dxa"/>
          </w:tcPr>
          <w:p w:rsidR="009B228F" w:rsidRPr="00DE7692" w:rsidRDefault="009B228F" w:rsidP="00B60F2A">
            <w:pPr>
              <w:spacing w:after="120" w:line="320" w:lineRule="atLeast"/>
              <w:jc w:val="both"/>
              <w:rPr>
                <w:color w:val="000000"/>
                <w:sz w:val="20"/>
                <w:szCs w:val="20"/>
              </w:rPr>
            </w:pPr>
            <w:r>
              <w:rPr>
                <w:color w:val="000000"/>
                <w:sz w:val="20"/>
                <w:szCs w:val="20"/>
              </w:rPr>
              <w:t xml:space="preserve">Российский </w:t>
            </w:r>
            <w:r w:rsidRPr="00DE7692">
              <w:rPr>
                <w:color w:val="000000"/>
                <w:sz w:val="20"/>
                <w:szCs w:val="20"/>
              </w:rPr>
              <w:t>ИНН</w:t>
            </w:r>
            <w:r>
              <w:rPr>
                <w:color w:val="000000"/>
                <w:sz w:val="20"/>
                <w:szCs w:val="20"/>
              </w:rPr>
              <w:t xml:space="preserve"> </w:t>
            </w:r>
          </w:p>
        </w:tc>
        <w:tc>
          <w:tcPr>
            <w:tcW w:w="5203" w:type="dxa"/>
            <w:gridSpan w:val="2"/>
          </w:tcPr>
          <w:p w:rsidR="009B228F" w:rsidRPr="00DE7692" w:rsidRDefault="009B228F" w:rsidP="00B60F2A">
            <w:pPr>
              <w:spacing w:after="120" w:line="320" w:lineRule="atLeast"/>
              <w:jc w:val="both"/>
              <w:rPr>
                <w:color w:val="000000"/>
                <w:sz w:val="20"/>
                <w:szCs w:val="20"/>
              </w:rPr>
            </w:pPr>
          </w:p>
        </w:tc>
      </w:tr>
      <w:tr w:rsidR="009B228F" w:rsidRPr="00924C37" w:rsidTr="00B60F2A">
        <w:tc>
          <w:tcPr>
            <w:tcW w:w="534"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3.</w:t>
            </w:r>
          </w:p>
        </w:tc>
        <w:tc>
          <w:tcPr>
            <w:tcW w:w="3827"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Адрес в стране регистрации</w:t>
            </w:r>
            <w:r>
              <w:rPr>
                <w:color w:val="000000"/>
                <w:sz w:val="20"/>
                <w:szCs w:val="20"/>
              </w:rPr>
              <w:t xml:space="preserve"> (инкорпорации)</w:t>
            </w:r>
          </w:p>
        </w:tc>
        <w:tc>
          <w:tcPr>
            <w:tcW w:w="5203" w:type="dxa"/>
            <w:gridSpan w:val="2"/>
          </w:tcPr>
          <w:p w:rsidR="009B228F" w:rsidRPr="00DE7692" w:rsidRDefault="009B228F" w:rsidP="00B60F2A">
            <w:pPr>
              <w:spacing w:after="120" w:line="320" w:lineRule="atLeast"/>
              <w:jc w:val="both"/>
              <w:rPr>
                <w:color w:val="000000"/>
                <w:sz w:val="20"/>
                <w:szCs w:val="20"/>
              </w:rPr>
            </w:pPr>
          </w:p>
        </w:tc>
      </w:tr>
      <w:tr w:rsidR="009B228F" w:rsidTr="00B60F2A">
        <w:tc>
          <w:tcPr>
            <w:tcW w:w="9564" w:type="dxa"/>
            <w:gridSpan w:val="4"/>
          </w:tcPr>
          <w:p w:rsidR="009B228F" w:rsidRPr="00DE7692" w:rsidRDefault="009B228F" w:rsidP="00B60F2A">
            <w:pPr>
              <w:spacing w:after="120" w:line="320" w:lineRule="atLeast"/>
              <w:jc w:val="both"/>
              <w:rPr>
                <w:color w:val="000000"/>
                <w:sz w:val="20"/>
                <w:szCs w:val="20"/>
              </w:rPr>
            </w:pPr>
            <w:r w:rsidRPr="00DE7692">
              <w:rPr>
                <w:color w:val="000000"/>
                <w:sz w:val="20"/>
                <w:szCs w:val="20"/>
              </w:rPr>
              <w:t>Дополнительные информационные сведения о юридическом лице/структуре без образования юридического лица:</w:t>
            </w:r>
          </w:p>
        </w:tc>
      </w:tr>
      <w:tr w:rsidR="009B228F" w:rsidTr="00B60F2A">
        <w:tc>
          <w:tcPr>
            <w:tcW w:w="534"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4.</w:t>
            </w:r>
          </w:p>
        </w:tc>
        <w:tc>
          <w:tcPr>
            <w:tcW w:w="5811" w:type="dxa"/>
            <w:gridSpan w:val="2"/>
          </w:tcPr>
          <w:p w:rsidR="009B228F" w:rsidRPr="00DE7692" w:rsidRDefault="009B228F" w:rsidP="00B60F2A">
            <w:pPr>
              <w:spacing w:after="120" w:line="320" w:lineRule="atLeast"/>
              <w:jc w:val="both"/>
              <w:rPr>
                <w:i/>
                <w:color w:val="000000"/>
                <w:sz w:val="20"/>
                <w:szCs w:val="20"/>
              </w:rPr>
            </w:pPr>
            <w:r w:rsidRPr="00DE7692">
              <w:rPr>
                <w:color w:val="000000"/>
                <w:sz w:val="20"/>
                <w:szCs w:val="20"/>
              </w:rPr>
              <w:t>Относите ли Вы себя к налоговому резиденту иностранного государства</w:t>
            </w:r>
            <w:r w:rsidRPr="00DE7692">
              <w:rPr>
                <w:rStyle w:val="ab"/>
                <w:color w:val="000000"/>
                <w:sz w:val="20"/>
                <w:szCs w:val="20"/>
              </w:rPr>
              <w:footnoteReference w:id="2"/>
            </w:r>
            <w:r w:rsidRPr="00DE7692">
              <w:rPr>
                <w:color w:val="000000"/>
                <w:sz w:val="20"/>
                <w:szCs w:val="20"/>
              </w:rPr>
              <w:t xml:space="preserve">? </w:t>
            </w:r>
            <w:r w:rsidRPr="00DE7692">
              <w:rPr>
                <w:i/>
                <w:color w:val="000000"/>
                <w:sz w:val="20"/>
                <w:szCs w:val="20"/>
              </w:rPr>
              <w:t>(Если ответ «Да», указать наименование государства (территории, после перейти к вопросу 5. Если ответ «Нет», перейти к вопросу 6</w:t>
            </w:r>
            <w:r>
              <w:rPr>
                <w:i/>
                <w:color w:val="000000"/>
                <w:sz w:val="20"/>
                <w:szCs w:val="20"/>
              </w:rPr>
              <w:t xml:space="preserve">. </w:t>
            </w:r>
            <w:r w:rsidRPr="00DE7713">
              <w:rPr>
                <w:i/>
                <w:color w:val="000000"/>
                <w:sz w:val="20"/>
                <w:szCs w:val="20"/>
              </w:rPr>
              <w:t xml:space="preserve">В случае, если Вы являетесь налоговым резидентом иностранного государства (территории) и/или имеете выгодоприобретателей </w:t>
            </w:r>
            <w:r w:rsidRPr="00DE7713">
              <w:rPr>
                <w:i/>
                <w:sz w:val="20"/>
                <w:szCs w:val="20"/>
              </w:rPr>
              <w:t>и (или) лиц, прямо или косвенно их контролирующих налоговых резидентов иностранных государств (территорий</w:t>
            </w:r>
            <w:r w:rsidRPr="00DE7713">
              <w:rPr>
                <w:i/>
                <w:color w:val="000000"/>
                <w:sz w:val="20"/>
                <w:szCs w:val="20"/>
              </w:rPr>
              <w:t>) необходимо заполнить Форму самосертификации по форме Приложения 3.1)</w:t>
            </w:r>
          </w:p>
        </w:tc>
        <w:tc>
          <w:tcPr>
            <w:tcW w:w="3219" w:type="dxa"/>
          </w:tcPr>
          <w:p w:rsidR="009B228F" w:rsidRPr="00DE7692" w:rsidRDefault="009B228F" w:rsidP="00B60F2A">
            <w:pPr>
              <w:rPr>
                <w:spacing w:val="4"/>
                <w:sz w:val="20"/>
                <w:szCs w:val="20"/>
              </w:rPr>
            </w:pPr>
            <w:r w:rsidRPr="00DE7692">
              <w:rPr>
                <w:spacing w:val="4"/>
                <w:sz w:val="20"/>
                <w:szCs w:val="20"/>
              </w:rPr>
              <w:sym w:font="Wingdings" w:char="006F"/>
            </w:r>
            <w:r w:rsidRPr="00DE7692">
              <w:rPr>
                <w:spacing w:val="4"/>
                <w:sz w:val="20"/>
                <w:szCs w:val="20"/>
              </w:rPr>
              <w:t xml:space="preserve"> Да</w:t>
            </w:r>
          </w:p>
          <w:p w:rsidR="009B228F" w:rsidRPr="00DE7692" w:rsidRDefault="009B228F" w:rsidP="00B60F2A">
            <w:pPr>
              <w:spacing w:after="120" w:line="320" w:lineRule="atLeast"/>
              <w:jc w:val="both"/>
              <w:rPr>
                <w:spacing w:val="4"/>
                <w:sz w:val="20"/>
                <w:szCs w:val="20"/>
              </w:rPr>
            </w:pPr>
            <w:r w:rsidRPr="00DE7692">
              <w:rPr>
                <w:spacing w:val="4"/>
                <w:sz w:val="20"/>
                <w:szCs w:val="20"/>
              </w:rPr>
              <w:sym w:font="Wingdings" w:char="006F"/>
            </w:r>
            <w:r w:rsidRPr="00DE7692">
              <w:rPr>
                <w:spacing w:val="4"/>
                <w:sz w:val="20"/>
                <w:szCs w:val="20"/>
              </w:rPr>
              <w:t xml:space="preserve"> Нет</w:t>
            </w:r>
          </w:p>
          <w:p w:rsidR="009B228F" w:rsidRPr="00DE7692" w:rsidRDefault="009B228F" w:rsidP="00B60F2A">
            <w:pPr>
              <w:spacing w:after="120" w:line="320" w:lineRule="atLeast"/>
              <w:jc w:val="both"/>
              <w:rPr>
                <w:spacing w:val="4"/>
                <w:sz w:val="20"/>
                <w:szCs w:val="20"/>
              </w:rPr>
            </w:pPr>
            <w:r w:rsidRPr="00DE7692">
              <w:rPr>
                <w:spacing w:val="4"/>
                <w:sz w:val="20"/>
                <w:szCs w:val="20"/>
              </w:rPr>
              <w:t>Государство (территория):</w:t>
            </w:r>
          </w:p>
          <w:p w:rsidR="009B228F" w:rsidRPr="00DE7692" w:rsidRDefault="009B228F" w:rsidP="00B60F2A">
            <w:pPr>
              <w:spacing w:after="120" w:line="320" w:lineRule="atLeast"/>
              <w:jc w:val="both"/>
              <w:rPr>
                <w:color w:val="000000"/>
                <w:sz w:val="20"/>
                <w:szCs w:val="20"/>
              </w:rPr>
            </w:pPr>
            <w:r w:rsidRPr="00DE7692">
              <w:rPr>
                <w:spacing w:val="4"/>
                <w:sz w:val="20"/>
                <w:szCs w:val="20"/>
              </w:rPr>
              <w:t>______________________</w:t>
            </w:r>
          </w:p>
        </w:tc>
      </w:tr>
      <w:tr w:rsidR="009B228F" w:rsidTr="00B60F2A">
        <w:tc>
          <w:tcPr>
            <w:tcW w:w="534"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5.</w:t>
            </w:r>
          </w:p>
        </w:tc>
        <w:tc>
          <w:tcPr>
            <w:tcW w:w="5811" w:type="dxa"/>
            <w:gridSpan w:val="2"/>
          </w:tcPr>
          <w:p w:rsidR="009B228F" w:rsidRPr="00DE7692" w:rsidRDefault="009B228F" w:rsidP="00B60F2A">
            <w:pPr>
              <w:spacing w:after="120" w:line="320" w:lineRule="atLeast"/>
              <w:jc w:val="both"/>
              <w:rPr>
                <w:color w:val="000000"/>
                <w:sz w:val="20"/>
                <w:szCs w:val="20"/>
              </w:rPr>
            </w:pPr>
            <w:r w:rsidRPr="00DE7692">
              <w:rPr>
                <w:color w:val="000000"/>
                <w:sz w:val="20"/>
                <w:szCs w:val="20"/>
              </w:rPr>
              <w:t xml:space="preserve">Иностранный идентификационный номер налогоплательщика, присвоенный иностранным государством (территорией), налоговым резидентом которого Вы являетесь </w:t>
            </w:r>
            <w:r>
              <w:rPr>
                <w:color w:val="000000"/>
                <w:sz w:val="20"/>
                <w:szCs w:val="20"/>
                <w:lang w:val="en-US"/>
              </w:rPr>
              <w:t>TIN</w:t>
            </w:r>
            <w:r w:rsidRPr="00C57189">
              <w:rPr>
                <w:color w:val="000000"/>
                <w:sz w:val="20"/>
                <w:szCs w:val="20"/>
              </w:rPr>
              <w:t xml:space="preserve"> </w:t>
            </w:r>
            <w:r>
              <w:rPr>
                <w:color w:val="000000"/>
                <w:sz w:val="20"/>
                <w:szCs w:val="20"/>
              </w:rPr>
              <w:t xml:space="preserve">(его аналог) </w:t>
            </w:r>
            <w:r w:rsidRPr="00DE7692">
              <w:rPr>
                <w:i/>
                <w:color w:val="000000"/>
                <w:sz w:val="20"/>
                <w:szCs w:val="20"/>
              </w:rPr>
              <w:t>(Обязательно к заполнению, в случае ответа «Да» на вопрос 4)</w:t>
            </w:r>
          </w:p>
        </w:tc>
        <w:tc>
          <w:tcPr>
            <w:tcW w:w="3219" w:type="dxa"/>
          </w:tcPr>
          <w:p w:rsidR="009B228F" w:rsidRPr="00DE7692" w:rsidRDefault="009B228F" w:rsidP="00B60F2A">
            <w:pPr>
              <w:rPr>
                <w:spacing w:val="4"/>
                <w:sz w:val="20"/>
                <w:szCs w:val="20"/>
              </w:rPr>
            </w:pPr>
          </w:p>
        </w:tc>
      </w:tr>
      <w:tr w:rsidR="009B228F" w:rsidTr="00B60F2A">
        <w:tc>
          <w:tcPr>
            <w:tcW w:w="534" w:type="dxa"/>
          </w:tcPr>
          <w:p w:rsidR="009B228F" w:rsidRPr="00DE7692" w:rsidRDefault="009B228F" w:rsidP="00B60F2A">
            <w:pPr>
              <w:spacing w:after="120" w:line="320" w:lineRule="atLeast"/>
              <w:jc w:val="both"/>
              <w:rPr>
                <w:color w:val="000000"/>
                <w:sz w:val="20"/>
                <w:szCs w:val="20"/>
              </w:rPr>
            </w:pPr>
            <w:r w:rsidRPr="00DE7692">
              <w:rPr>
                <w:color w:val="000000"/>
                <w:sz w:val="20"/>
                <w:szCs w:val="20"/>
              </w:rPr>
              <w:t>6.</w:t>
            </w:r>
          </w:p>
        </w:tc>
        <w:tc>
          <w:tcPr>
            <w:tcW w:w="5811" w:type="dxa"/>
            <w:gridSpan w:val="2"/>
          </w:tcPr>
          <w:p w:rsidR="009B228F" w:rsidRPr="00DE7692" w:rsidRDefault="009B228F" w:rsidP="00B60F2A">
            <w:pPr>
              <w:spacing w:after="120" w:line="320" w:lineRule="atLeast"/>
              <w:jc w:val="both"/>
              <w:rPr>
                <w:color w:val="000000"/>
                <w:sz w:val="20"/>
                <w:szCs w:val="20"/>
              </w:rPr>
            </w:pPr>
            <w:r w:rsidRPr="00DE7692">
              <w:rPr>
                <w:color w:val="000000"/>
                <w:sz w:val="20"/>
                <w:szCs w:val="20"/>
              </w:rPr>
              <w:t>Являетесь ли Вы пассивной нефинансовой организацией</w:t>
            </w:r>
            <w:r w:rsidRPr="00DE7692">
              <w:rPr>
                <w:rStyle w:val="ab"/>
                <w:color w:val="000000"/>
                <w:sz w:val="20"/>
                <w:szCs w:val="20"/>
              </w:rPr>
              <w:footnoteReference w:id="3"/>
            </w:r>
            <w:r w:rsidRPr="00DE7692">
              <w:rPr>
                <w:color w:val="000000"/>
                <w:sz w:val="20"/>
                <w:szCs w:val="20"/>
              </w:rPr>
              <w:t xml:space="preserve">? </w:t>
            </w:r>
            <w:r w:rsidRPr="00EC22F5">
              <w:rPr>
                <w:i/>
                <w:color w:val="000000"/>
                <w:sz w:val="20"/>
                <w:szCs w:val="20"/>
              </w:rPr>
              <w:t xml:space="preserve">(Если ответ «ДА» необходимо заполнить </w:t>
            </w:r>
            <w:r>
              <w:rPr>
                <w:i/>
                <w:color w:val="000000"/>
                <w:sz w:val="20"/>
                <w:szCs w:val="20"/>
              </w:rPr>
              <w:t>Форму самосертификации -</w:t>
            </w:r>
            <w:r w:rsidRPr="00EC22F5">
              <w:rPr>
                <w:i/>
                <w:color w:val="000000"/>
                <w:sz w:val="20"/>
                <w:szCs w:val="20"/>
              </w:rPr>
              <w:t xml:space="preserve"> Приложени</w:t>
            </w:r>
            <w:r>
              <w:rPr>
                <w:i/>
                <w:color w:val="000000"/>
                <w:sz w:val="20"/>
                <w:szCs w:val="20"/>
              </w:rPr>
              <w:t>е</w:t>
            </w:r>
            <w:r w:rsidRPr="00EC22F5">
              <w:rPr>
                <w:i/>
                <w:color w:val="000000"/>
                <w:sz w:val="20"/>
                <w:szCs w:val="20"/>
              </w:rPr>
              <w:t xml:space="preserve"> 3.1)</w:t>
            </w:r>
          </w:p>
        </w:tc>
        <w:tc>
          <w:tcPr>
            <w:tcW w:w="3219" w:type="dxa"/>
          </w:tcPr>
          <w:p w:rsidR="009B228F" w:rsidRPr="00DE7692" w:rsidRDefault="009B228F" w:rsidP="00B60F2A">
            <w:pPr>
              <w:rPr>
                <w:spacing w:val="4"/>
                <w:sz w:val="20"/>
                <w:szCs w:val="20"/>
              </w:rPr>
            </w:pPr>
            <w:r w:rsidRPr="00DE7692">
              <w:rPr>
                <w:spacing w:val="4"/>
                <w:sz w:val="20"/>
                <w:szCs w:val="20"/>
              </w:rPr>
              <w:sym w:font="Wingdings" w:char="006F"/>
            </w:r>
            <w:r w:rsidRPr="00DE7692">
              <w:rPr>
                <w:spacing w:val="4"/>
                <w:sz w:val="20"/>
                <w:szCs w:val="20"/>
              </w:rPr>
              <w:t xml:space="preserve"> Да</w:t>
            </w:r>
          </w:p>
          <w:p w:rsidR="009B228F" w:rsidRPr="00DE7692" w:rsidRDefault="009B228F" w:rsidP="00B60F2A">
            <w:pPr>
              <w:spacing w:after="120" w:line="320" w:lineRule="atLeast"/>
              <w:jc w:val="both"/>
              <w:rPr>
                <w:spacing w:val="4"/>
                <w:sz w:val="20"/>
                <w:szCs w:val="20"/>
              </w:rPr>
            </w:pPr>
            <w:r w:rsidRPr="00DE7692">
              <w:rPr>
                <w:spacing w:val="4"/>
                <w:sz w:val="20"/>
                <w:szCs w:val="20"/>
              </w:rPr>
              <w:sym w:font="Wingdings" w:char="006F"/>
            </w:r>
            <w:r w:rsidRPr="00DE7692">
              <w:rPr>
                <w:spacing w:val="4"/>
                <w:sz w:val="20"/>
                <w:szCs w:val="20"/>
              </w:rPr>
              <w:t xml:space="preserve"> Нет</w:t>
            </w:r>
          </w:p>
        </w:tc>
      </w:tr>
    </w:tbl>
    <w:p w:rsidR="009B228F" w:rsidRDefault="009B228F" w:rsidP="009B228F">
      <w:pPr>
        <w:spacing w:after="120" w:line="320" w:lineRule="atLeast"/>
        <w:jc w:val="both"/>
        <w:rPr>
          <w:b/>
          <w:i/>
          <w:color w:val="000000"/>
          <w:sz w:val="20"/>
          <w:szCs w:val="20"/>
        </w:rPr>
      </w:pPr>
      <w:r w:rsidRPr="00A574E2">
        <w:rPr>
          <w:b/>
          <w:i/>
          <w:color w:val="000000"/>
          <w:sz w:val="20"/>
          <w:szCs w:val="20"/>
        </w:rPr>
        <w:lastRenderedPageBreak/>
        <w:t>Я согласен</w:t>
      </w:r>
      <w:r>
        <w:rPr>
          <w:i/>
          <w:color w:val="000000"/>
          <w:sz w:val="20"/>
          <w:szCs w:val="20"/>
        </w:rPr>
        <w:t>, что не предоставление Банку информации о налоговом резидентстве, а также предоставление неполной информации или заведомо неверной информации является достаточным поводом для отказа в открытии счета, совершении операций, осуществляемых по ранее заключенным договорам, прекращения деловых отношений.</w:t>
      </w:r>
    </w:p>
    <w:p w:rsidR="009B228F" w:rsidRDefault="009B228F" w:rsidP="009B228F">
      <w:pPr>
        <w:spacing w:after="120" w:line="320" w:lineRule="atLeast"/>
        <w:jc w:val="both"/>
        <w:rPr>
          <w:i/>
          <w:color w:val="000000"/>
          <w:sz w:val="20"/>
          <w:szCs w:val="20"/>
        </w:rPr>
      </w:pPr>
      <w:r w:rsidRPr="00A574E2">
        <w:rPr>
          <w:b/>
          <w:i/>
          <w:color w:val="000000"/>
          <w:sz w:val="20"/>
          <w:szCs w:val="20"/>
        </w:rPr>
        <w:t>Обязуюсь</w:t>
      </w:r>
      <w:r>
        <w:rPr>
          <w:i/>
          <w:color w:val="000000"/>
          <w:sz w:val="20"/>
          <w:szCs w:val="20"/>
        </w:rPr>
        <w:t xml:space="preserve"> информировать Банк обо всех изменениях в указанной информации не позднее 7 (семи) рабочих дней с момента их появления.</w:t>
      </w:r>
    </w:p>
    <w:p w:rsidR="009B228F" w:rsidRPr="00620606" w:rsidRDefault="009B228F" w:rsidP="009B228F">
      <w:pPr>
        <w:spacing w:after="120" w:line="320" w:lineRule="atLeast"/>
        <w:jc w:val="both"/>
        <w:rPr>
          <w:i/>
          <w:color w:val="000000"/>
          <w:sz w:val="20"/>
          <w:szCs w:val="20"/>
        </w:rPr>
      </w:pPr>
      <w:r>
        <w:rPr>
          <w:i/>
          <w:color w:val="000000"/>
          <w:sz w:val="20"/>
          <w:szCs w:val="20"/>
        </w:rPr>
        <w:t>«____»_______________20___г.</w:t>
      </w:r>
      <w:r>
        <w:rPr>
          <w:i/>
          <w:color w:val="000000"/>
          <w:sz w:val="20"/>
          <w:szCs w:val="20"/>
        </w:rPr>
        <w:tab/>
      </w:r>
      <w:r>
        <w:rPr>
          <w:i/>
          <w:color w:val="000000"/>
          <w:sz w:val="20"/>
          <w:szCs w:val="20"/>
        </w:rPr>
        <w:tab/>
      </w:r>
      <w:r>
        <w:rPr>
          <w:i/>
          <w:color w:val="000000"/>
          <w:sz w:val="20"/>
          <w:szCs w:val="20"/>
        </w:rPr>
        <w:tab/>
      </w:r>
      <w:r>
        <w:rPr>
          <w:i/>
          <w:color w:val="000000"/>
          <w:sz w:val="20"/>
          <w:szCs w:val="20"/>
        </w:rPr>
        <w:tab/>
        <w:t xml:space="preserve">_____________________/____________________/                            </w:t>
      </w:r>
    </w:p>
    <w:p w:rsidR="009B228F" w:rsidRDefault="009B228F" w:rsidP="009B228F">
      <w:pPr>
        <w:spacing w:after="120" w:line="320" w:lineRule="atLeast"/>
        <w:jc w:val="both"/>
        <w:rPr>
          <w:i/>
          <w:color w:val="000000"/>
          <w:sz w:val="20"/>
          <w:szCs w:val="20"/>
        </w:rPr>
      </w:pPr>
      <w:r w:rsidRPr="007C4FA5">
        <w:rPr>
          <w:i/>
          <w:color w:val="000000"/>
          <w:sz w:val="16"/>
          <w:szCs w:val="16"/>
        </w:rPr>
        <w:tab/>
      </w:r>
      <w:r w:rsidRPr="007C4FA5">
        <w:rPr>
          <w:i/>
          <w:color w:val="000000"/>
          <w:sz w:val="16"/>
          <w:szCs w:val="16"/>
        </w:rPr>
        <w:tab/>
      </w:r>
      <w:r w:rsidRPr="007C4FA5">
        <w:rPr>
          <w:i/>
          <w:color w:val="000000"/>
          <w:sz w:val="16"/>
          <w:szCs w:val="16"/>
        </w:rPr>
        <w:tab/>
      </w:r>
      <w:r w:rsidRPr="007C4FA5">
        <w:rPr>
          <w:i/>
          <w:color w:val="000000"/>
          <w:sz w:val="16"/>
          <w:szCs w:val="16"/>
        </w:rPr>
        <w:tab/>
      </w:r>
      <w:r w:rsidRPr="007C4FA5">
        <w:rPr>
          <w:i/>
          <w:color w:val="000000"/>
          <w:sz w:val="16"/>
          <w:szCs w:val="16"/>
        </w:rPr>
        <w:tab/>
      </w:r>
      <w:r w:rsidRPr="007C4FA5">
        <w:rPr>
          <w:i/>
          <w:color w:val="000000"/>
          <w:sz w:val="16"/>
          <w:szCs w:val="16"/>
        </w:rPr>
        <w:tab/>
      </w:r>
      <w:r w:rsidRPr="007C4FA5">
        <w:rPr>
          <w:i/>
          <w:color w:val="000000"/>
          <w:sz w:val="16"/>
          <w:szCs w:val="16"/>
        </w:rPr>
        <w:tab/>
      </w:r>
      <w:r w:rsidRPr="007C4FA5">
        <w:rPr>
          <w:i/>
          <w:color w:val="000000"/>
          <w:sz w:val="16"/>
          <w:szCs w:val="16"/>
        </w:rPr>
        <w:tab/>
        <w:t>(подпись)</w:t>
      </w:r>
      <w:r w:rsidRPr="00620606">
        <w:rPr>
          <w:i/>
          <w:color w:val="000000"/>
          <w:sz w:val="20"/>
          <w:szCs w:val="20"/>
        </w:rPr>
        <w:t xml:space="preserve"> </w:t>
      </w:r>
    </w:p>
    <w:p w:rsidR="009B228F" w:rsidRPr="007C4FA5" w:rsidRDefault="009B228F" w:rsidP="009B228F">
      <w:pPr>
        <w:spacing w:after="120" w:line="320" w:lineRule="atLeast"/>
        <w:jc w:val="both"/>
        <w:rPr>
          <w:i/>
          <w:color w:val="000000"/>
          <w:sz w:val="16"/>
          <w:szCs w:val="16"/>
        </w:rPr>
      </w:pPr>
      <w:r>
        <w:rPr>
          <w:i/>
          <w:color w:val="000000"/>
          <w:sz w:val="20"/>
          <w:szCs w:val="20"/>
        </w:rPr>
        <w:t xml:space="preserve">                                                                                                                                                     М.П. </w:t>
      </w:r>
      <w:r w:rsidRPr="008358B1">
        <w:rPr>
          <w:i/>
          <w:color w:val="000000"/>
          <w:sz w:val="16"/>
          <w:szCs w:val="16"/>
        </w:rPr>
        <w:t>(при наличии)</w:t>
      </w:r>
    </w:p>
    <w:p w:rsidR="009A2769" w:rsidRPr="0044700A" w:rsidRDefault="009A2769" w:rsidP="009B228F">
      <w:pPr>
        <w:spacing w:after="120" w:line="320" w:lineRule="atLeast"/>
        <w:ind w:firstLine="709"/>
        <w:jc w:val="both"/>
        <w:rPr>
          <w:rFonts w:ascii="Tahoma" w:hAnsi="Tahoma" w:cs="Tahoma"/>
          <w:color w:val="000000" w:themeColor="text1"/>
        </w:rPr>
      </w:pPr>
    </w:p>
    <w:sectPr w:rsidR="009A2769" w:rsidRPr="0044700A" w:rsidSect="004B2E06">
      <w:footerReference w:type="even" r:id="rId7"/>
      <w:footerReference w:type="default" r:id="rId8"/>
      <w:pgSz w:w="11900" w:h="16840"/>
      <w:pgMar w:top="14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E3" w:rsidRDefault="00A403E3" w:rsidP="00F944DA">
      <w:r>
        <w:separator/>
      </w:r>
    </w:p>
  </w:endnote>
  <w:endnote w:type="continuationSeparator" w:id="0">
    <w:p w:rsidR="00A403E3" w:rsidRDefault="00A403E3" w:rsidP="00F9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0A" w:rsidRDefault="0044700A" w:rsidP="000636F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2E06">
      <w:rPr>
        <w:rStyle w:val="a5"/>
        <w:noProof/>
      </w:rPr>
      <w:t>1</w:t>
    </w:r>
    <w:r>
      <w:rPr>
        <w:rStyle w:val="a5"/>
      </w:rPr>
      <w:fldChar w:fldCharType="end"/>
    </w:r>
    <w:r w:rsidR="009662EF">
      <w:rPr>
        <w:rStyle w:val="a5"/>
      </w:rPr>
      <w:t>(</w:t>
    </w:r>
    <w:r w:rsidR="009662EF">
      <w:rPr>
        <w:rStyle w:val="a5"/>
        <w:rFonts w:hint="eastAsia"/>
      </w:rPr>
      <w:fldChar w:fldCharType="begin"/>
    </w:r>
    <w:r w:rsidR="009662EF">
      <w:rPr>
        <w:rStyle w:val="a5"/>
        <w:rFonts w:hint="eastAsia"/>
      </w:rPr>
      <w:instrText xml:space="preserve"> </w:instrText>
    </w:r>
    <w:r w:rsidR="009662EF">
      <w:rPr>
        <w:rStyle w:val="a5"/>
      </w:rPr>
      <w:instrText>SECTIONPAGES  \* MERGEFORMAT</w:instrText>
    </w:r>
    <w:r w:rsidR="009662EF">
      <w:rPr>
        <w:rStyle w:val="a5"/>
        <w:rFonts w:hint="eastAsia"/>
      </w:rPr>
      <w:instrText xml:space="preserve"> </w:instrText>
    </w:r>
    <w:r w:rsidR="009662EF">
      <w:rPr>
        <w:rStyle w:val="a5"/>
        <w:rFonts w:hint="eastAsia"/>
      </w:rPr>
      <w:fldChar w:fldCharType="separate"/>
    </w:r>
    <w:r w:rsidR="004B2E06">
      <w:rPr>
        <w:rStyle w:val="a5"/>
        <w:noProof/>
      </w:rPr>
      <w:t>2</w:t>
    </w:r>
    <w:r w:rsidR="009662EF">
      <w:rPr>
        <w:rStyle w:val="a5"/>
        <w:rFonts w:hint="eastAsia"/>
      </w:rPr>
      <w:fldChar w:fldCharType="end"/>
    </w:r>
    <w:r w:rsidR="009662EF">
      <w:rPr>
        <w:rStyle w:val="a5"/>
      </w:rPr>
      <w:t>)</w:t>
    </w:r>
  </w:p>
  <w:p w:rsidR="0044700A" w:rsidRDefault="0044700A" w:rsidP="00F944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E3" w:rsidRDefault="00A403E3" w:rsidP="00F944DA">
      <w:r>
        <w:separator/>
      </w:r>
    </w:p>
  </w:footnote>
  <w:footnote w:type="continuationSeparator" w:id="0">
    <w:p w:rsidR="00A403E3" w:rsidRDefault="00A403E3" w:rsidP="00F944DA">
      <w:r>
        <w:continuationSeparator/>
      </w:r>
    </w:p>
  </w:footnote>
  <w:footnote w:id="1">
    <w:p w:rsidR="009B228F" w:rsidRPr="00FD3037" w:rsidRDefault="009B228F" w:rsidP="009B228F">
      <w:pPr>
        <w:pStyle w:val="a9"/>
        <w:rPr>
          <w:sz w:val="16"/>
          <w:szCs w:val="16"/>
        </w:rPr>
      </w:pPr>
      <w:r>
        <w:rPr>
          <w:rStyle w:val="ab"/>
        </w:rPr>
        <w:footnoteRef/>
      </w:r>
      <w:r>
        <w:t xml:space="preserve"> </w:t>
      </w:r>
      <w:r w:rsidRPr="00FD3037">
        <w:rPr>
          <w:b/>
          <w:color w:val="000000"/>
          <w:sz w:val="16"/>
          <w:szCs w:val="16"/>
        </w:rPr>
        <w:t>Налоговый резидент иностранного государства</w:t>
      </w:r>
      <w:r w:rsidRPr="00FD3037">
        <w:rPr>
          <w:color w:val="000000"/>
          <w:sz w:val="16"/>
          <w:szCs w:val="16"/>
        </w:rPr>
        <w:t xml:space="preserve"> – лицо, которое признается таковым в соответствии с законодательством иностранного государства (иностранных государств) или территории (территорий) или в отношении которого есть основания полагать, что оно является таковым.</w:t>
      </w:r>
    </w:p>
  </w:footnote>
  <w:footnote w:id="2">
    <w:p w:rsidR="009B228F" w:rsidRPr="00FD3037" w:rsidRDefault="009B228F" w:rsidP="009B228F">
      <w:pPr>
        <w:pStyle w:val="a9"/>
        <w:jc w:val="both"/>
        <w:rPr>
          <w:sz w:val="16"/>
          <w:szCs w:val="16"/>
        </w:rPr>
      </w:pPr>
      <w:r w:rsidRPr="00FD3037">
        <w:rPr>
          <w:rStyle w:val="ab"/>
          <w:b/>
        </w:rPr>
        <w:footnoteRef/>
      </w:r>
      <w:r w:rsidRPr="00FD3037">
        <w:rPr>
          <w:b/>
          <w:sz w:val="16"/>
          <w:szCs w:val="16"/>
        </w:rPr>
        <w:t xml:space="preserve"> Критерии отнесения Клиентов – юридических лиц к категории налоговых резидентов иностранных государств (территорий)</w:t>
      </w:r>
      <w:r w:rsidRPr="00FD3037">
        <w:rPr>
          <w:sz w:val="16"/>
          <w:szCs w:val="16"/>
        </w:rPr>
        <w:t xml:space="preserve"> (в целях Постановления Правительства Российской Федерации от 16.06.2018 № 693):</w:t>
      </w:r>
    </w:p>
    <w:p w:rsidR="009B228F" w:rsidRPr="00FD3037" w:rsidRDefault="009B228F" w:rsidP="009B228F">
      <w:pPr>
        <w:pStyle w:val="a9"/>
        <w:rPr>
          <w:color w:val="000000"/>
          <w:sz w:val="16"/>
          <w:szCs w:val="16"/>
        </w:rPr>
      </w:pPr>
      <w:r w:rsidRPr="00FD3037">
        <w:rPr>
          <w:color w:val="000000"/>
          <w:sz w:val="16"/>
          <w:szCs w:val="16"/>
        </w:rPr>
        <w:t xml:space="preserve">- место инкорпорации (учреждения) </w:t>
      </w:r>
      <w:r>
        <w:rPr>
          <w:color w:val="000000"/>
          <w:sz w:val="16"/>
          <w:szCs w:val="16"/>
          <w:lang w:val="ru-RU"/>
        </w:rPr>
        <w:t xml:space="preserve">в </w:t>
      </w:r>
      <w:r w:rsidRPr="00FD3037">
        <w:rPr>
          <w:color w:val="000000"/>
          <w:sz w:val="16"/>
          <w:szCs w:val="16"/>
        </w:rPr>
        <w:t>иностранно</w:t>
      </w:r>
      <w:r>
        <w:rPr>
          <w:color w:val="000000"/>
          <w:sz w:val="16"/>
          <w:szCs w:val="16"/>
          <w:lang w:val="ru-RU"/>
        </w:rPr>
        <w:t>м</w:t>
      </w:r>
      <w:r w:rsidRPr="00FD3037">
        <w:rPr>
          <w:color w:val="000000"/>
          <w:sz w:val="16"/>
          <w:szCs w:val="16"/>
        </w:rPr>
        <w:t xml:space="preserve"> государств</w:t>
      </w:r>
      <w:r>
        <w:rPr>
          <w:color w:val="000000"/>
          <w:sz w:val="16"/>
          <w:szCs w:val="16"/>
          <w:lang w:val="ru-RU"/>
        </w:rPr>
        <w:t>е</w:t>
      </w:r>
      <w:r w:rsidRPr="00FD3037">
        <w:rPr>
          <w:color w:val="000000"/>
          <w:sz w:val="16"/>
          <w:szCs w:val="16"/>
        </w:rPr>
        <w:t>;</w:t>
      </w:r>
    </w:p>
    <w:p w:rsidR="009B228F" w:rsidRPr="00FD3037" w:rsidRDefault="009B228F" w:rsidP="009B228F">
      <w:pPr>
        <w:pStyle w:val="a9"/>
        <w:rPr>
          <w:color w:val="000000"/>
          <w:sz w:val="16"/>
          <w:szCs w:val="16"/>
        </w:rPr>
      </w:pPr>
      <w:r w:rsidRPr="00FD3037">
        <w:rPr>
          <w:sz w:val="16"/>
          <w:szCs w:val="16"/>
        </w:rPr>
        <w:t>- адрес (в том числе адрес головного офиса, адрес органа управления или управляющей структуры) в иностранном государстве;</w:t>
      </w:r>
    </w:p>
    <w:p w:rsidR="009B228F" w:rsidRPr="00FD3037" w:rsidRDefault="009B228F" w:rsidP="009B228F">
      <w:pPr>
        <w:pStyle w:val="a9"/>
        <w:rPr>
          <w:color w:val="000000"/>
          <w:sz w:val="16"/>
          <w:szCs w:val="16"/>
        </w:rPr>
      </w:pPr>
      <w:r w:rsidRPr="00FD3037">
        <w:rPr>
          <w:color w:val="000000"/>
          <w:sz w:val="16"/>
          <w:szCs w:val="16"/>
        </w:rPr>
        <w:t>- адрес лица, исполняющего функции по управлению структурой без образования юридического лица, в иностранном государстве.</w:t>
      </w:r>
    </w:p>
  </w:footnote>
  <w:footnote w:id="3">
    <w:p w:rsidR="009B228F" w:rsidRPr="002C0A2E" w:rsidRDefault="009B228F" w:rsidP="009B228F">
      <w:pPr>
        <w:autoSpaceDE w:val="0"/>
        <w:autoSpaceDN w:val="0"/>
        <w:adjustRightInd w:val="0"/>
        <w:jc w:val="both"/>
        <w:rPr>
          <w:b/>
          <w:bCs/>
          <w:sz w:val="16"/>
          <w:szCs w:val="16"/>
        </w:rPr>
      </w:pPr>
      <w:r w:rsidRPr="00FD3037">
        <w:rPr>
          <w:rStyle w:val="ab"/>
          <w:sz w:val="20"/>
          <w:szCs w:val="20"/>
        </w:rPr>
        <w:footnoteRef/>
      </w:r>
      <w:r w:rsidRPr="00FD3037">
        <w:rPr>
          <w:sz w:val="16"/>
          <w:szCs w:val="16"/>
        </w:rPr>
        <w:t xml:space="preserve"> </w:t>
      </w:r>
      <w:r w:rsidRPr="00FD3037">
        <w:rPr>
          <w:b/>
          <w:sz w:val="16"/>
          <w:szCs w:val="16"/>
        </w:rPr>
        <w:t>Пассивная нефинансовая организация</w:t>
      </w:r>
      <w:r w:rsidRPr="00FD3037">
        <w:rPr>
          <w:sz w:val="16"/>
          <w:szCs w:val="16"/>
        </w:rPr>
        <w:t xml:space="preserve"> - </w:t>
      </w:r>
      <w:r w:rsidRPr="002C0A2E">
        <w:rPr>
          <w:bCs/>
          <w:sz w:val="16"/>
          <w:szCs w:val="16"/>
        </w:rPr>
        <w:t xml:space="preserve">организация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осуществляющих активную деятельность, согласно </w:t>
      </w:r>
      <w:r w:rsidRPr="00F67C17">
        <w:rPr>
          <w:bCs/>
          <w:sz w:val="16"/>
          <w:szCs w:val="16"/>
        </w:rPr>
        <w:t>приложению № 1 к Постановлению № 693, а также</w:t>
      </w:r>
      <w:r w:rsidRPr="002C0A2E">
        <w:rPr>
          <w:bCs/>
          <w:sz w:val="16"/>
          <w:szCs w:val="16"/>
        </w:rPr>
        <w:t xml:space="preserve"> организация финансового рынка и (или) финансовое учреждение, зарегистрированные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информационно-телекоммуникационной сети "Интернет", в том числе организация финансового рынка и (или) финансовое учреждение (обособленное подразделение такой организации или учреждения), которые расположены в таком государстве (территории) или в отношении которых такое государство (территория) осуществляет банковский надзор и (или) регулирование, контроль и надзор в сфере финансовых рынков, основной доход которых происходит от инвестиций или торговли финансовыми активами и которые управляются иной организацией финансового рынка или финансовым учреждением. В целях настоящего пункта под финансовым учреждением понимается организация, зарегистрированная в иностранном государстве (территории), осуществляющая операции (сделки) с денежными средствами или иным имуществом, являющаяся таковой согласно определению, закрепленному рекомендациями Группы разработки финансовых мер борьбы с отмыванием денег (ФАТФ). При этом финансовое учреждение не является организацией финансового рынка или организацией финансового рынка, зарегистрированной в иностранном государстве (территории). Организация финансового рынка и (или) финансовое учреждение управляется иной организацией финансового рынка или финансовым учреждением, если одна или несколько организаций финансового рынка или финансовых учреждений в ходе своей деятельности осуществляют прямо или косвенно от лица управляемой организации финансового рынка и (или) финансового учреждения:</w:t>
      </w:r>
    </w:p>
    <w:p w:rsidR="009B228F" w:rsidRPr="002C0A2E" w:rsidRDefault="009B228F" w:rsidP="009B228F">
      <w:pPr>
        <w:autoSpaceDE w:val="0"/>
        <w:autoSpaceDN w:val="0"/>
        <w:adjustRightInd w:val="0"/>
        <w:jc w:val="both"/>
        <w:rPr>
          <w:sz w:val="16"/>
          <w:szCs w:val="16"/>
        </w:rPr>
      </w:pPr>
      <w:r w:rsidRPr="002C0A2E">
        <w:rPr>
          <w:sz w:val="16"/>
          <w:szCs w:val="16"/>
        </w:rPr>
        <w:t xml:space="preserve"> а) операции, связанные одновременно или по отдельности с:</w:t>
      </w:r>
    </w:p>
    <w:p w:rsidR="009B228F" w:rsidRPr="002C0A2E" w:rsidRDefault="009B228F" w:rsidP="009B228F">
      <w:pPr>
        <w:autoSpaceDE w:val="0"/>
        <w:autoSpaceDN w:val="0"/>
        <w:adjustRightInd w:val="0"/>
        <w:ind w:firstLine="540"/>
        <w:jc w:val="both"/>
        <w:rPr>
          <w:sz w:val="16"/>
          <w:szCs w:val="16"/>
        </w:rPr>
      </w:pPr>
      <w:r w:rsidRPr="002C0A2E">
        <w:rPr>
          <w:sz w:val="16"/>
          <w:szCs w:val="16"/>
        </w:rPr>
        <w:t>- торговлей высоколиквидными финансовыми инструментами (в том числе чеками, векселями, депозитными сертификатами, производными финансовыми инструментами), осуществлением операций на валютном рынке (рынке форекс), торговлей биржевыми инструментами, а также инструментами, связанными с процентными ставками и индексами, оборачиваемыми ценными бумагами, или торговлей фьючерсами на сырьевые товары;</w:t>
      </w:r>
    </w:p>
    <w:p w:rsidR="009B228F" w:rsidRPr="002C0A2E" w:rsidRDefault="009B228F" w:rsidP="009B228F">
      <w:pPr>
        <w:autoSpaceDE w:val="0"/>
        <w:autoSpaceDN w:val="0"/>
        <w:adjustRightInd w:val="0"/>
        <w:ind w:firstLine="540"/>
        <w:jc w:val="both"/>
        <w:rPr>
          <w:sz w:val="16"/>
          <w:szCs w:val="16"/>
        </w:rPr>
      </w:pPr>
      <w:r w:rsidRPr="002C0A2E">
        <w:rPr>
          <w:sz w:val="16"/>
          <w:szCs w:val="16"/>
        </w:rPr>
        <w:t>- управлением индивидуальными и коллективными инвестиционными портфелями;</w:t>
      </w:r>
    </w:p>
    <w:p w:rsidR="009B228F" w:rsidRPr="002C0A2E" w:rsidRDefault="009B228F" w:rsidP="009B228F">
      <w:pPr>
        <w:autoSpaceDE w:val="0"/>
        <w:autoSpaceDN w:val="0"/>
        <w:adjustRightInd w:val="0"/>
        <w:ind w:firstLine="540"/>
        <w:jc w:val="both"/>
        <w:rPr>
          <w:sz w:val="16"/>
          <w:szCs w:val="16"/>
        </w:rPr>
      </w:pPr>
      <w:r w:rsidRPr="002C0A2E">
        <w:rPr>
          <w:sz w:val="16"/>
          <w:szCs w:val="16"/>
        </w:rPr>
        <w:t xml:space="preserve">- иным инвестированием, администрированием или </w:t>
      </w:r>
      <w:r w:rsidRPr="002C0A2E">
        <w:rPr>
          <w:bCs/>
          <w:sz w:val="16"/>
          <w:szCs w:val="16"/>
        </w:rPr>
        <w:t>управлением финансовыми активами,</w:t>
      </w:r>
      <w:r w:rsidRPr="002C0A2E">
        <w:rPr>
          <w:sz w:val="16"/>
          <w:szCs w:val="16"/>
        </w:rPr>
        <w:t xml:space="preserve"> или денежными средствами от лица иной организации финансового рынка и (или) финансового учреждения;</w:t>
      </w:r>
    </w:p>
    <w:p w:rsidR="009B228F" w:rsidRPr="002C0A2E" w:rsidRDefault="009B228F" w:rsidP="009B228F">
      <w:pPr>
        <w:autoSpaceDE w:val="0"/>
        <w:autoSpaceDN w:val="0"/>
        <w:adjustRightInd w:val="0"/>
        <w:jc w:val="both"/>
        <w:rPr>
          <w:sz w:val="16"/>
          <w:szCs w:val="16"/>
        </w:rPr>
      </w:pPr>
      <w:r w:rsidRPr="002C0A2E">
        <w:rPr>
          <w:sz w:val="16"/>
          <w:szCs w:val="16"/>
        </w:rPr>
        <w:t>б) инвестирование или торговлю финансовыми активами (самостоятельно или через посредников) от имени управляемой организации финансового рынка и (или) финансового учреждения, а также вправе полностью или частично распоряжаться активами такой организации финансового рынка и (или) финансового учреждения.</w:t>
      </w:r>
    </w:p>
    <w:p w:rsidR="009B228F" w:rsidRPr="002C0A2E" w:rsidRDefault="009B228F" w:rsidP="009B228F">
      <w:pPr>
        <w:autoSpaceDE w:val="0"/>
        <w:autoSpaceDN w:val="0"/>
        <w:adjustRightInd w:val="0"/>
        <w:jc w:val="both"/>
        <w:rPr>
          <w:sz w:val="16"/>
          <w:szCs w:val="16"/>
        </w:rPr>
      </w:pPr>
      <w:r w:rsidRPr="002C0A2E">
        <w:rPr>
          <w:b/>
          <w:sz w:val="16"/>
          <w:szCs w:val="16"/>
        </w:rPr>
        <w:t>Признаки активной/пассивной деятельности.</w:t>
      </w:r>
    </w:p>
    <w:p w:rsidR="009B228F" w:rsidRPr="00FD3037" w:rsidRDefault="009B228F" w:rsidP="009B228F">
      <w:pPr>
        <w:pStyle w:val="a9"/>
        <w:rPr>
          <w:sz w:val="16"/>
          <w:szCs w:val="16"/>
        </w:rPr>
      </w:pPr>
      <w:r w:rsidRPr="002C0A2E">
        <w:rPr>
          <w:sz w:val="16"/>
          <w:szCs w:val="16"/>
        </w:rPr>
        <w:t xml:space="preserve">1. Признаки клиентов (за исключением клиентов – физических лиц), осуществляющих </w:t>
      </w:r>
      <w:r w:rsidRPr="002C0A2E">
        <w:rPr>
          <w:sz w:val="16"/>
          <w:szCs w:val="16"/>
          <w:u w:val="single"/>
        </w:rPr>
        <w:t>активную</w:t>
      </w:r>
      <w:r w:rsidRPr="00FD3037">
        <w:rPr>
          <w:sz w:val="16"/>
          <w:szCs w:val="16"/>
        </w:rPr>
        <w:t xml:space="preserve"> деятельность:</w:t>
      </w:r>
    </w:p>
    <w:p w:rsidR="009B228F" w:rsidRPr="00FD3037" w:rsidRDefault="009B228F" w:rsidP="009B228F">
      <w:pPr>
        <w:pStyle w:val="ConsPlusNormal"/>
        <w:jc w:val="both"/>
        <w:rPr>
          <w:rFonts w:ascii="Times New Roman" w:hAnsi="Times New Roman" w:cs="Times New Roman"/>
          <w:sz w:val="16"/>
          <w:szCs w:val="16"/>
        </w:rPr>
      </w:pPr>
      <w:r w:rsidRPr="00FD3037">
        <w:rPr>
          <w:rFonts w:ascii="Times New Roman" w:hAnsi="Times New Roman" w:cs="Times New Roman"/>
          <w:sz w:val="16"/>
          <w:szCs w:val="16"/>
        </w:rPr>
        <w:t>а) клиент (за исключением клиента - физического лица) признается осуществляющим активную деятельность в любом из следующих случаев:</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 xml:space="preserve">за календарный год, предшествующий отчетному периоду, менее 50 процентов доходов клиента составляют доходы от пассивной деятельности в соответствии с </w:t>
      </w:r>
      <w:hyperlink w:anchor="P287" w:history="1">
        <w:r w:rsidRPr="00FD3037">
          <w:rPr>
            <w:rFonts w:ascii="Times New Roman" w:hAnsi="Times New Roman" w:cs="Times New Roman"/>
            <w:sz w:val="16"/>
            <w:szCs w:val="16"/>
          </w:rPr>
          <w:t>пунктом 2</w:t>
        </w:r>
      </w:hyperlink>
      <w:r w:rsidRPr="00FD3037">
        <w:rPr>
          <w:rFonts w:ascii="Times New Roman" w:hAnsi="Times New Roman" w:cs="Times New Roman"/>
          <w:sz w:val="16"/>
          <w:szCs w:val="16"/>
        </w:rPr>
        <w:t xml:space="preserve"> настоящего документа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в соответствии с </w:t>
      </w:r>
      <w:hyperlink w:anchor="P287" w:history="1">
        <w:r w:rsidRPr="00FD3037">
          <w:rPr>
            <w:rFonts w:ascii="Times New Roman" w:hAnsi="Times New Roman" w:cs="Times New Roman"/>
            <w:sz w:val="16"/>
            <w:szCs w:val="16"/>
          </w:rPr>
          <w:t>пунктом 2</w:t>
        </w:r>
      </w:hyperlink>
      <w:r w:rsidRPr="00FD3037">
        <w:rPr>
          <w:rFonts w:ascii="Times New Roman" w:hAnsi="Times New Roman" w:cs="Times New Roman"/>
          <w:sz w:val="16"/>
          <w:szCs w:val="16"/>
        </w:rPr>
        <w:t xml:space="preserve"> настоящего документа;</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акции (доли) клиента обращаются на организованных торгах в Российской Федерации или на иностранной бирже;</w:t>
      </w:r>
    </w:p>
    <w:p w:rsidR="009B228F" w:rsidRPr="00C140A2"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w:t>
      </w:r>
      <w:r w:rsidRPr="00C140A2">
        <w:rPr>
          <w:rFonts w:ascii="Times New Roman" w:hAnsi="Times New Roman" w:cs="Times New Roman"/>
          <w:sz w:val="16"/>
          <w:szCs w:val="16"/>
        </w:rPr>
        <w:t xml:space="preserve"> уставном (складочном) капитале);</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клиент является вновь созданным лицом;</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клиент является некоммерческой организацией, доходы которой не являются объектом налогообложения или освобождаются от налогов;</w:t>
      </w:r>
    </w:p>
    <w:p w:rsidR="009B228F" w:rsidRPr="00FD3037" w:rsidRDefault="009B228F" w:rsidP="009B228F">
      <w:pPr>
        <w:pStyle w:val="ConsPlusNormal"/>
        <w:ind w:firstLine="540"/>
        <w:jc w:val="both"/>
        <w:rPr>
          <w:rFonts w:ascii="Times New Roman" w:hAnsi="Times New Roman" w:cs="Times New Roman"/>
          <w:sz w:val="16"/>
          <w:szCs w:val="16"/>
        </w:rPr>
      </w:pPr>
      <w:bookmarkStart w:id="1" w:name="P277"/>
      <w:bookmarkEnd w:id="1"/>
      <w:r w:rsidRPr="00FD3037">
        <w:rPr>
          <w:rFonts w:ascii="Times New Roman" w:hAnsi="Times New Roman" w:cs="Times New Roman"/>
          <w:sz w:val="16"/>
          <w:szCs w:val="16"/>
        </w:rPr>
        <w:t xml:space="preserve">б) признаются доходами от </w:t>
      </w:r>
      <w:r w:rsidRPr="00FD3037">
        <w:rPr>
          <w:rFonts w:ascii="Times New Roman" w:hAnsi="Times New Roman" w:cs="Times New Roman"/>
          <w:sz w:val="16"/>
          <w:szCs w:val="16"/>
          <w:u w:val="single"/>
        </w:rPr>
        <w:t>пассивной</w:t>
      </w:r>
      <w:r w:rsidRPr="00FD3037">
        <w:rPr>
          <w:rFonts w:ascii="Times New Roman" w:hAnsi="Times New Roman" w:cs="Times New Roman"/>
          <w:sz w:val="16"/>
          <w:szCs w:val="16"/>
        </w:rPr>
        <w:t xml:space="preserve"> деятельности следующие доходы:</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дивиденды;</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процентный доход (или иной аналогичный доход);</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доходы от сдачи в аренду или субаренду имущества;</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доходы от использования прав на объекты интеллектуальной собственности;</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периодические страховые выплаты (аннуитеты);</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9B228F" w:rsidRPr="00FD3037" w:rsidRDefault="009B228F" w:rsidP="009B228F">
      <w:pPr>
        <w:pStyle w:val="ConsPlusNormal"/>
        <w:ind w:firstLine="540"/>
        <w:jc w:val="both"/>
        <w:rPr>
          <w:rFonts w:ascii="Times New Roman" w:hAnsi="Times New Roman" w:cs="Times New Roman"/>
          <w:sz w:val="16"/>
          <w:szCs w:val="16"/>
        </w:rPr>
      </w:pPr>
      <w:r w:rsidRPr="00FD3037">
        <w:rPr>
          <w:rFonts w:ascii="Times New Roman" w:hAnsi="Times New Roman" w:cs="Times New Roman"/>
          <w:sz w:val="16"/>
          <w:szCs w:val="16"/>
        </w:rPr>
        <w:t>доходы, полученные в рамках договора добровольного страхования жизни;</w:t>
      </w:r>
    </w:p>
    <w:p w:rsidR="009B228F" w:rsidRPr="00FD3037" w:rsidRDefault="009B228F" w:rsidP="009B228F">
      <w:pPr>
        <w:pStyle w:val="a9"/>
        <w:rPr>
          <w:sz w:val="16"/>
          <w:szCs w:val="16"/>
        </w:rPr>
      </w:pPr>
      <w:r w:rsidRPr="00FD3037">
        <w:rPr>
          <w:sz w:val="16"/>
          <w:szCs w:val="16"/>
        </w:rPr>
        <w:t>иные доходы, аналогичные доходам, указанным в настоящем пункте.</w:t>
      </w:r>
    </w:p>
    <w:p w:rsidR="009B228F" w:rsidRPr="00FD3037" w:rsidRDefault="009B228F" w:rsidP="009B228F">
      <w:pPr>
        <w:pStyle w:val="a9"/>
        <w:rPr>
          <w:sz w:val="16"/>
          <w:szCs w:val="16"/>
        </w:rPr>
      </w:pPr>
      <w:r w:rsidRPr="00FD3037">
        <w:rPr>
          <w:sz w:val="16"/>
          <w:szCs w:val="16"/>
        </w:rPr>
        <w:t xml:space="preserve">2. Доходы, не указанные в </w:t>
      </w:r>
      <w:hyperlink w:anchor="P277" w:history="1">
        <w:r w:rsidRPr="00FD3037">
          <w:rPr>
            <w:sz w:val="16"/>
            <w:szCs w:val="16"/>
          </w:rPr>
          <w:t>подпункте "б"</w:t>
        </w:r>
      </w:hyperlink>
      <w:r w:rsidRPr="00FD3037">
        <w:rPr>
          <w:sz w:val="16"/>
          <w:szCs w:val="16"/>
        </w:rPr>
        <w:t xml:space="preserve"> пункта 1, признаются доходами от активной деятельности.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E3"/>
    <w:rsid w:val="000636FC"/>
    <w:rsid w:val="002109C2"/>
    <w:rsid w:val="00247358"/>
    <w:rsid w:val="0044700A"/>
    <w:rsid w:val="004B2E06"/>
    <w:rsid w:val="007D4D62"/>
    <w:rsid w:val="009662EF"/>
    <w:rsid w:val="00967014"/>
    <w:rsid w:val="009A2769"/>
    <w:rsid w:val="009B228F"/>
    <w:rsid w:val="00A403E3"/>
    <w:rsid w:val="00B242D4"/>
    <w:rsid w:val="00C101B9"/>
    <w:rsid w:val="00C20762"/>
    <w:rsid w:val="00D02AED"/>
    <w:rsid w:val="00E049F3"/>
    <w:rsid w:val="00F944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48DD77F9-8F4B-4345-98C9-4AE439A8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28F"/>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customStyle="1" w:styleId="ConsPlusNormal">
    <w:name w:val="ConsPlusNormal"/>
    <w:rsid w:val="009B228F"/>
    <w:pPr>
      <w:widowControl w:val="0"/>
      <w:autoSpaceDE w:val="0"/>
      <w:autoSpaceDN w:val="0"/>
      <w:adjustRightInd w:val="0"/>
    </w:pPr>
    <w:rPr>
      <w:rFonts w:ascii="Arial" w:eastAsia="Times New Roman" w:hAnsi="Arial" w:cs="Arial"/>
      <w:sz w:val="20"/>
      <w:szCs w:val="20"/>
      <w:lang w:eastAsia="ru-RU"/>
    </w:rPr>
  </w:style>
  <w:style w:type="paragraph" w:styleId="a9">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a"/>
    <w:uiPriority w:val="99"/>
    <w:qFormat/>
    <w:rsid w:val="009B228F"/>
    <w:rPr>
      <w:sz w:val="20"/>
      <w:szCs w:val="20"/>
      <w:lang w:val="x-none" w:eastAsia="x-none"/>
    </w:rPr>
  </w:style>
  <w:style w:type="character" w:customStyle="1" w:styleId="aa">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9"/>
    <w:uiPriority w:val="99"/>
    <w:rsid w:val="009B228F"/>
    <w:rPr>
      <w:rFonts w:ascii="Times New Roman" w:eastAsia="Times New Roman" w:hAnsi="Times New Roman" w:cs="Times New Roman"/>
      <w:sz w:val="20"/>
      <w:szCs w:val="20"/>
      <w:lang w:val="x-none" w:eastAsia="x-none"/>
    </w:rPr>
  </w:style>
  <w:style w:type="character" w:styleId="ab">
    <w:name w:val="footnote reference"/>
    <w:aliases w:val="Style 49,fr,o,Style 18,EY Footnote Reference,fr + (Latin) Arial,(Asian) Arial,Black,Black + (Latin) Arial,Footnote Reference new,Footnote EY Interstate,Footnote Arial 8 single space,Footnote Referece,Footnote EYI,fr1,fr2,fr3"/>
    <w:uiPriority w:val="99"/>
    <w:qFormat/>
    <w:rsid w:val="009B228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CE08-7779-4F71-99AE-4B8738AC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Вязьмина Мария Юрьевна</dc:creator>
  <cp:keywords/>
  <dc:description/>
  <cp:lastModifiedBy>Диденко Ольга Николаевна</cp:lastModifiedBy>
  <cp:revision>3</cp:revision>
  <dcterms:created xsi:type="dcterms:W3CDTF">2023-06-20T13:48:00Z</dcterms:created>
  <dcterms:modified xsi:type="dcterms:W3CDTF">2024-11-06T10:04:00Z</dcterms:modified>
</cp:coreProperties>
</file>